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StatForms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tatforms"/>
    <w:p>
      <w:pPr>
        <w:pStyle w:val="Heading1"/>
      </w:pPr>
      <w:r>
        <w:t xml:space="preserve">Назначение StatForms</w:t>
      </w:r>
    </w:p>
    <w:p>
      <w:pPr>
        <w:pStyle w:val="FirstParagraph"/>
      </w:pPr>
      <w:r>
        <w:rPr>
          <w:rStyle w:val="VerbatimChar"/>
        </w:rPr>
        <w:t xml:space="preserve">StatForms</w:t>
      </w:r>
      <w:r>
        <w:t xml:space="preserve"> </w:t>
      </w:r>
      <w:r>
        <w:t xml:space="preserve">является служебным модулем поставки статистических форм. Формы находятся в каталоге</w:t>
      </w:r>
      <w:r>
        <w:t xml:space="preserve"> </w:t>
      </w:r>
      <w:r>
        <w:rPr>
          <w:rStyle w:val="VerbatimChar"/>
        </w:rPr>
        <w:t xml:space="preserve">stt</w:t>
      </w:r>
      <w:r>
        <w:t xml:space="preserve"> </w:t>
      </w:r>
      <w:r>
        <w:t xml:space="preserve">и используются другими модулями отчетности для построения статистических таблиц.</w:t>
      </w:r>
    </w:p>
    <w:p>
      <w:pPr>
        <w:pStyle w:val="BodyText"/>
      </w:pPr>
      <w:r>
        <w:t xml:space="preserve">В комплект входят формы по датам, месяцам и годам для читателей и запросов, формы по экземплярам, местам хранения и записям баз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</w:t>
      </w:r>
    </w:p>
    <w:p>
      <w:pPr>
        <w:pStyle w:val="BodyText"/>
      </w:pPr>
      <w:r>
        <w:t xml:space="preserve">Модуль не имеет настраиваемых административных параметров и не предоставляет отдельного пользовательского интерфейса.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StatForms</dc:title>
  <dc:creator/>
  <cp:keywords/>
  <dcterms:created xsi:type="dcterms:W3CDTF">2026-09-09T21:45:01Z</dcterms:created>
  <dcterms:modified xsi:type="dcterms:W3CDTF">2026-09-09T21:45:01Z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